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Ansvarstagande ekonomi i Borlänge – effektivisering, prioritering av välfärd och överskottsanvändning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Borlänge redovisade ett starkt resultat på 119,3 miljoner kronor för 2025 – 29,3 Mkr över budget. Trots det finns sparkrav på totalt 113 Mkr nämnda i media för kommande år, bland annat på administration, chefer och konsulter. Kostnader för äldreomsorg per invånare 80+ är 273 537 kr (något över snitt).</w:t>
      </w:r>
    </w:p>
    <w:p>
      <w:pPr>
        <w:spacing w:after="100"/>
      </w:pPr>
      <w:r>
        <w:t xml:space="preserve">Moderaterna vill att överskottet används klokt för investeringar i kärnverksamhet (skola, omsorg, infrastruktur) snarare än att byggas upp eller användas till ineffektiv administration. Effektiviseringar ska göras utan att försämra kvalitet för medborgarna.</w:t>
      </w:r>
    </w:p>
    <w:p>
      <w:pPr>
        <w:spacing w:after="100"/>
      </w:pPr>
      <w:r>
        <w:t xml:space="preserve">Ansvarstagande ekonomi handlar om prioriteringar: välfärd först, minskad byråkrati, långsiktig hållbarhet. Det stärker förtroendet för politiken i en tid av demografiska och ekonomiska utmaningar.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plan för användning av 2025 års överskott med prioritering av investeringar i skola, äldreomsorg och infrastruktur, samt redovisa till fullmäktige senast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en översyn av administrativa kostnader och konsultanvändning med mål om besparingar som inte påverkar kärnverksamhetens kvalitet, med uppföljning i delårsrapporter.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säkerställa att budgetprocessen 2027–2030 präglas av realistiska antaganden, effektiv resursanvändning och tydliga prioriteringar mellan kärnverksamhet och stödverksamhet.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nyckeltal för effektivitet (t.ex. kostnad per elev, per äldreomsorgsinsats, administrationsandel) till kommunfullmäktige.</w:t>
      </w:r>
    </w:p>
    <w:p>
      <w:pPr>
        <w:spacing w:before="360"/>
      </w:pPr>
    </w:p>
    <w:p>
      <w:r>
        <w:t xml:space="preserve">Borlänge,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2026-06-06T01:48:19.925Z</dcterms:created>
  <dcterms:modified xsi:type="dcterms:W3CDTF">2026-06-06T01:48:19.925Z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